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 </w:t>
      </w:r>
      <w:r w:rsidR="00052DB2">
        <w:rPr>
          <w:rFonts w:ascii="Calibri" w:hAnsi="Calibri" w:cs="Calibri"/>
          <w:i/>
          <w:iCs/>
        </w:rPr>
        <w:t>2</w:t>
      </w:r>
      <w:r w:rsidR="00EC1A4A">
        <w:rPr>
          <w:rFonts w:ascii="Calibri" w:hAnsi="Calibri" w:cs="Calibri"/>
          <w:i/>
          <w:iCs/>
        </w:rPr>
        <w:t xml:space="preserve">5 de </w:t>
      </w:r>
      <w:proofErr w:type="spellStart"/>
      <w:r w:rsidR="00EC1A4A">
        <w:rPr>
          <w:rFonts w:ascii="Calibri" w:hAnsi="Calibri" w:cs="Calibri"/>
          <w:i/>
          <w:iCs/>
        </w:rPr>
        <w:t>septiembre</w:t>
      </w:r>
      <w:proofErr w:type="spellEnd"/>
      <w:r w:rsidR="00EC1A4A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Estimado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B57401" w:rsidRDefault="00EC1A4A" w:rsidP="00D04A76">
      <w:pPr>
        <w:pStyle w:val="Sinespaciad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Gustavo </w:t>
      </w:r>
      <w:proofErr w:type="spellStart"/>
      <w:r>
        <w:rPr>
          <w:rFonts w:ascii="Calibri" w:hAnsi="Calibri" w:cs="Calibri"/>
          <w:i/>
          <w:iCs/>
        </w:rPr>
        <w:t>Bácama</w:t>
      </w:r>
      <w:proofErr w:type="spellEnd"/>
      <w:r>
        <w:rPr>
          <w:rFonts w:ascii="Calibri" w:hAnsi="Calibri" w:cs="Calibri"/>
          <w:i/>
          <w:iCs/>
        </w:rPr>
        <w:t xml:space="preserve"> </w:t>
      </w:r>
      <w:proofErr w:type="spellStart"/>
      <w:r>
        <w:rPr>
          <w:rFonts w:ascii="Calibri" w:hAnsi="Calibri" w:cs="Calibri"/>
          <w:i/>
          <w:iCs/>
        </w:rPr>
        <w:t>Mejía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D010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es-ES_tradnl"/>
        </w:rPr>
        <w:t>Solar</w:t>
      </w:r>
      <w:r w:rsidR="007779C3" w:rsidRPr="00D010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es-ES_tradnl"/>
        </w:rPr>
        <w:t xml:space="preserve"> Energy</w:t>
      </w:r>
      <w:r w:rsidR="007779C3" w:rsidRPr="00D01018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D01018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>1</w:t>
      </w:r>
      <w:r w:rsidR="00EC1A4A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>80</w:t>
      </w:r>
      <w:r w:rsidR="007779C3" w:rsidRPr="00D01018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D01018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</w:t>
            </w:r>
            <w:r w:rsidR="00EC1A4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491A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2,16</w:t>
            </w:r>
            <w:r w:rsidR="00EC1A4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D0101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</w:t>
            </w:r>
            <w:r w:rsidR="00EC1A4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20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0C698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77491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4</w:t>
            </w:r>
            <w:r w:rsidR="00EC1A4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,752.00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C1A4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-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C1A4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3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</w:t>
            </w:r>
            <w:proofErr w:type="spellStart"/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C1A4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172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B707A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,064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0.29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052DB2" w:rsidRDefault="007779C3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</w:pPr>
      <w:proofErr w:type="spellStart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>Análisis</w:t>
      </w:r>
      <w:proofErr w:type="spellEnd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EC1A4A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15,0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052DB2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>OPCIONES FINANCIAMIENTOS</w:t>
      </w:r>
    </w:p>
    <w:p w:rsidR="00D04A76" w:rsidRPr="00052DB2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052DB2"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NEOCUOTAS (VISA O MASTER CARD)</w:t>
      </w:r>
      <w:r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 </w:t>
      </w:r>
      <w:r w:rsidR="00052DB2"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EC1A4A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350.00</w:t>
      </w:r>
    </w:p>
    <w:p w:rsidR="00D04A76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BAC </w:t>
      </w:r>
      <w:r w:rsidR="00052DB2" w:rsidRPr="00052DB2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</w:t>
      </w:r>
      <w:r w:rsidR="00EC1A4A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466.67</w:t>
      </w:r>
    </w:p>
    <w:p w:rsidR="00EC1A4A" w:rsidRPr="00052DB2" w:rsidRDefault="00EC1A4A" w:rsidP="00EC1A4A">
      <w:pPr>
        <w:pStyle w:val="Sinespaciado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C1A4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Q4,752.00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16889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216889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216889">
              <w:rPr>
                <w:rFonts w:ascii="Calibri" w:eastAsia="Times New Roman" w:hAnsi="Calibri" w:cs="Calibri"/>
                <w:i/>
                <w:iCs/>
                <w:lang w:eastAsia="es-ES_tradnl"/>
              </w:rPr>
              <w:t>Q123,</w:t>
            </w:r>
            <w:r w:rsidR="00EC1A4A">
              <w:rPr>
                <w:rFonts w:ascii="Calibri" w:eastAsia="Times New Roman" w:hAnsi="Calibri" w:cs="Calibri"/>
                <w:i/>
                <w:iCs/>
                <w:lang w:eastAsia="es-ES_tradnl"/>
              </w:rPr>
              <w:t>552.00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="00AD056C">
        <w:rPr>
          <w:rFonts w:ascii="Calibri" w:eastAsia="Times New Roman" w:hAnsi="Calibri" w:cs="Calibri"/>
          <w:i/>
          <w:iCs/>
          <w:lang w:eastAsia="es-ES_tradnl"/>
        </w:rPr>
        <w:t xml:space="preserve"> Solax</w:t>
      </w:r>
      <w:bookmarkStart w:id="0" w:name="_GoBack"/>
      <w:bookmarkEnd w:id="0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EC1A4A" w:rsidP="00A2087C">
      <w:pPr>
        <w:pStyle w:val="Sinespaciado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 w:rsidR="00A2087C" w:rsidRPr="00B57401">
        <w:rPr>
          <w:rFonts w:ascii="Calibri" w:hAnsi="Calibri" w:cs="Calibri"/>
          <w:i/>
          <w:iCs/>
        </w:rPr>
        <w:t>¡</w:t>
      </w:r>
      <w:proofErr w:type="spellStart"/>
      <w:r w:rsidR="00A2087C" w:rsidRPr="00B57401">
        <w:rPr>
          <w:rFonts w:ascii="Calibri" w:hAnsi="Calibri" w:cs="Calibri"/>
          <w:i/>
          <w:iCs/>
        </w:rPr>
        <w:t>Aproveche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la </w:t>
      </w:r>
      <w:proofErr w:type="spellStart"/>
      <w:r w:rsidR="00A2087C" w:rsidRPr="00B57401">
        <w:rPr>
          <w:rFonts w:ascii="Calibri" w:hAnsi="Calibri" w:cs="Calibri"/>
          <w:i/>
          <w:iCs/>
        </w:rPr>
        <w:t>energía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solar y </w:t>
      </w:r>
      <w:proofErr w:type="spellStart"/>
      <w:r w:rsidR="00A2087C" w:rsidRPr="00B57401">
        <w:rPr>
          <w:rFonts w:ascii="Calibri" w:hAnsi="Calibri" w:cs="Calibri"/>
          <w:i/>
          <w:iCs/>
        </w:rPr>
        <w:t>reduzca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su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factura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eléctrica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desde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el primer </w:t>
      </w:r>
      <w:proofErr w:type="spellStart"/>
      <w:r w:rsidR="00A2087C" w:rsidRPr="00B57401">
        <w:rPr>
          <w:rFonts w:ascii="Calibri" w:hAnsi="Calibri" w:cs="Calibri"/>
          <w:i/>
          <w:iCs/>
        </w:rPr>
        <w:t>mes</w:t>
      </w:r>
      <w:proofErr w:type="spellEnd"/>
      <w:r w:rsidR="00A2087C" w:rsidRPr="00B57401">
        <w:rPr>
          <w:rFonts w:ascii="Calibri" w:hAnsi="Calibri" w:cs="Calibri"/>
          <w:i/>
          <w:iCs/>
        </w:rPr>
        <w:t>!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sectPr w:rsidR="00A2087C" w:rsidRPr="00B57401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A50" w:rsidRDefault="007A0A50" w:rsidP="007E5A75">
      <w:pPr>
        <w:spacing w:after="0" w:line="240" w:lineRule="auto"/>
      </w:pPr>
      <w:r>
        <w:separator/>
      </w:r>
    </w:p>
  </w:endnote>
  <w:endnote w:type="continuationSeparator" w:id="0">
    <w:p w:rsidR="007A0A50" w:rsidRDefault="007A0A50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A50" w:rsidRDefault="007A0A50" w:rsidP="007E5A75">
      <w:pPr>
        <w:spacing w:after="0" w:line="240" w:lineRule="auto"/>
      </w:pPr>
      <w:r>
        <w:separator/>
      </w:r>
    </w:p>
  </w:footnote>
  <w:footnote w:type="continuationSeparator" w:id="0">
    <w:p w:rsidR="007A0A50" w:rsidRDefault="007A0A50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52DB2"/>
    <w:rsid w:val="0006063C"/>
    <w:rsid w:val="00094BCA"/>
    <w:rsid w:val="000C6981"/>
    <w:rsid w:val="0015074B"/>
    <w:rsid w:val="00216889"/>
    <w:rsid w:val="00224937"/>
    <w:rsid w:val="0029639D"/>
    <w:rsid w:val="00326F90"/>
    <w:rsid w:val="00330842"/>
    <w:rsid w:val="003B4F9D"/>
    <w:rsid w:val="00424B09"/>
    <w:rsid w:val="005545ED"/>
    <w:rsid w:val="00595906"/>
    <w:rsid w:val="006E5671"/>
    <w:rsid w:val="0077491A"/>
    <w:rsid w:val="007779C3"/>
    <w:rsid w:val="007A0A50"/>
    <w:rsid w:val="007B707A"/>
    <w:rsid w:val="007E5A75"/>
    <w:rsid w:val="009715DD"/>
    <w:rsid w:val="009C042D"/>
    <w:rsid w:val="009E659B"/>
    <w:rsid w:val="00A2087C"/>
    <w:rsid w:val="00AA1D8D"/>
    <w:rsid w:val="00AD056C"/>
    <w:rsid w:val="00B47730"/>
    <w:rsid w:val="00B57401"/>
    <w:rsid w:val="00C73CA3"/>
    <w:rsid w:val="00CB0664"/>
    <w:rsid w:val="00CB5E94"/>
    <w:rsid w:val="00D01018"/>
    <w:rsid w:val="00D04A76"/>
    <w:rsid w:val="00E1731A"/>
    <w:rsid w:val="00EC1A4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6580019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04BE61-3227-4705-9FCC-3488330D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2025-09-25T06:59:00Z</dcterms:created>
  <dcterms:modified xsi:type="dcterms:W3CDTF">2025-09-25T06:59:00Z</dcterms:modified>
  <cp:category/>
</cp:coreProperties>
</file>