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CE62B" w14:textId="77777777"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7E46E931" w14:textId="77777777"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016CFA62" w14:textId="77777777"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4CCE4590" w14:textId="77777777"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14:paraId="204F757D" w14:textId="039DDE09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611827">
        <w:rPr>
          <w:rFonts w:ascii="Calibri" w:hAnsi="Calibri" w:cs="Calibri"/>
          <w:i/>
          <w:iCs/>
          <w:lang w:val="es-GT"/>
        </w:rPr>
        <w:t xml:space="preserve">  Guatemala, </w:t>
      </w:r>
      <w:r w:rsidR="00DB1AF5">
        <w:rPr>
          <w:rFonts w:ascii="Calibri" w:hAnsi="Calibri" w:cs="Calibri"/>
          <w:i/>
          <w:iCs/>
          <w:lang w:val="es-GT"/>
        </w:rPr>
        <w:t xml:space="preserve">25 de septiembre de </w:t>
      </w:r>
      <w:r w:rsidRPr="00611827">
        <w:rPr>
          <w:rFonts w:ascii="Calibri" w:hAnsi="Calibri" w:cs="Calibri"/>
          <w:i/>
          <w:iCs/>
          <w:lang w:val="es-GT"/>
        </w:rPr>
        <w:t>2025</w:t>
      </w:r>
    </w:p>
    <w:p w14:paraId="235B08FD" w14:textId="77777777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6749DCF" w14:textId="77777777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2D70E79" w14:textId="77777777" w:rsidR="00D04A76" w:rsidRPr="00611827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3F5336F6" w14:textId="77777777" w:rsidR="00D04A76" w:rsidRPr="00611827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67050B5" w14:textId="77777777" w:rsidR="00D04A76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Estimad</w:t>
      </w:r>
      <w:r w:rsidR="009A0A70" w:rsidRPr="00611827">
        <w:rPr>
          <w:rFonts w:ascii="Calibri" w:hAnsi="Calibri" w:cs="Calibri"/>
          <w:i/>
          <w:iCs/>
          <w:lang w:val="es-GT"/>
        </w:rPr>
        <w:t>a</w:t>
      </w:r>
    </w:p>
    <w:p w14:paraId="4DD52BAF" w14:textId="610C246A" w:rsidR="007779C3" w:rsidRPr="00DB1AF5" w:rsidRDefault="00DB1AF5" w:rsidP="00D04A76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DB1AF5">
        <w:rPr>
          <w:rFonts w:ascii="Calibri" w:hAnsi="Calibri" w:cs="Calibri"/>
          <w:b/>
          <w:i/>
          <w:iCs/>
          <w:lang w:val="es-GT"/>
        </w:rPr>
        <w:t>Paiz Lourdes Teresa</w:t>
      </w:r>
    </w:p>
    <w:p w14:paraId="05F9C333" w14:textId="77777777" w:rsidR="007779C3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Presente</w:t>
      </w:r>
    </w:p>
    <w:p w14:paraId="59C24136" w14:textId="77777777" w:rsidR="007779C3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0C4C8B9D" w14:textId="03981F22" w:rsidR="007779C3" w:rsidRPr="00611827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>Solar</w:t>
      </w:r>
      <w:r w:rsidR="007779C3" w:rsidRPr="00611827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 xml:space="preserve"> Energy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200506" w:rsidRPr="00611827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2</w:t>
      </w:r>
      <w:r w:rsidR="00DB1AF5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27</w:t>
      </w:r>
      <w:r w:rsidR="007779C3" w:rsidRPr="00611827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14:paraId="6F94B516" w14:textId="77777777" w:rsidR="00D04A76" w:rsidRPr="00611827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6F40FE5" w14:textId="77777777" w:rsidR="00094BCA" w:rsidRPr="00611827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C128441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7D689710" w14:textId="77777777" w:rsidR="007779C3" w:rsidRPr="00611827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14:paraId="30783EC5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100CCC15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55FE042A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CF2A47D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39D1218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BCC15E2" w14:textId="77777777"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14:paraId="6F705FE8" w14:textId="77777777"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14:paraId="163A430A" w14:textId="77777777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1C3B3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6717C700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14:paraId="546F2D83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2A89A8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7EEFE69E" w14:textId="3DAD8EFF" w:rsidR="007779C3" w:rsidRPr="00B57401" w:rsidRDefault="00200506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</w:t>
            </w:r>
            <w:r w:rsidR="00DB1AF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27</w:t>
            </w:r>
            <w:r w:rsidR="00A908C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14:paraId="3D133961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31ED0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3E5E2737" w14:textId="40F0C9D5" w:rsidR="007779C3" w:rsidRPr="00B57401" w:rsidRDefault="00200506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2,</w:t>
            </w:r>
            <w:r w:rsidR="00DB1AF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724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14:paraId="5F482027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8D144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14:paraId="304EEF89" w14:textId="4CC89458" w:rsidR="007779C3" w:rsidRPr="00B57401" w:rsidRDefault="000721FB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DB1AF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2.20</w:t>
            </w:r>
            <w:r w:rsidR="0020050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14:paraId="43E29B4B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0659A6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14:paraId="27AA1B35" w14:textId="68E796C9" w:rsidR="007779C3" w:rsidRPr="00B57401" w:rsidRDefault="000721FB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DB1AF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5,992.80</w:t>
            </w:r>
          </w:p>
        </w:tc>
      </w:tr>
    </w:tbl>
    <w:p w14:paraId="676C5A52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2D1DFF8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88A0151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31613A32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7A026BB9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9EB970F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E0F0837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1BB2A27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44D03E5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99B26FB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0334D45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B27FAA0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7C6AC8F" w14:textId="4D50A056" w:rsidR="000C6981" w:rsidRDefault="00DB1AF5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lastRenderedPageBreak/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</w:p>
    <w:p w14:paraId="7BD6C968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14:paraId="79F9845A" w14:textId="77777777"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14:paraId="74576E59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</w:t>
      </w:r>
      <w:r w:rsidR="00890D09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y 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criterios de máxima eficiencia.</w:t>
      </w:r>
    </w:p>
    <w:p w14:paraId="59313DB3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14:paraId="57E4A6B0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118CF1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14:paraId="3FCEC2F6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14:paraId="7A1A2404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14:paraId="4B14CFC2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DB83E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14:paraId="755F35B0" w14:textId="27A0FC48" w:rsidR="007779C3" w:rsidRPr="00B57401" w:rsidRDefault="0061182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0721FB">
              <w:rPr>
                <w:rFonts w:ascii="Calibri" w:eastAsia="Times New Roman" w:hAnsi="Calibri" w:cs="Calibri"/>
                <w:i/>
                <w:iCs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JA Solar-</w:t>
            </w:r>
            <w:proofErr w:type="spellStart"/>
            <w:r w:rsidR="00F9195F">
              <w:rPr>
                <w:rFonts w:ascii="Calibri" w:eastAsia="Times New Roman" w:hAnsi="Calibri" w:cs="Calibri"/>
                <w:i/>
                <w:iCs/>
                <w:lang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14:paraId="609B90F4" w14:textId="55CB26E2" w:rsidR="007779C3" w:rsidRPr="00B57401" w:rsidRDefault="00DB1AF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3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14:paraId="3299D6DB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732DA0" w14:textId="7FF0AE74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DB1AF5" w:rsidRP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  <w:r w:rsidR="00DB1AF5" w:rsidRP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X1-Micro 4 in 1</w:t>
            </w:r>
          </w:p>
        </w:tc>
        <w:tc>
          <w:tcPr>
            <w:tcW w:w="0" w:type="auto"/>
            <w:hideMark/>
          </w:tcPr>
          <w:p w14:paraId="75AA3F65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14:paraId="1F4EF1AA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14:paraId="3344DCA4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D4701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14:paraId="3ADC1438" w14:textId="295D5B58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</w:t>
            </w:r>
            <w:proofErr w:type="spellStart"/>
            <w:r w:rsid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14:paraId="28006C3B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53594ACD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D144C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14:paraId="3E49B31C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14:paraId="2C690108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73C4093C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976B79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14:paraId="0302C200" w14:textId="77777777" w:rsidR="007779C3" w:rsidRPr="00611827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611827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14:paraId="1BD92097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558BE14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A34579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14:paraId="0CAD0468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14:paraId="648ECE44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6009D6BD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4EC4D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14:paraId="52E39BEB" w14:textId="1BCCDB41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14:paraId="00E1586C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14:paraId="747FF0A4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B3FC307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14:paraId="0829E2B3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14:paraId="2372ED62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EAA9F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4A86763D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14:paraId="147436A5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099FAC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0B3F3F83" w14:textId="4C4D37CF" w:rsidR="007779C3" w:rsidRPr="00B57401" w:rsidRDefault="00DB1AF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229.25</w:t>
            </w:r>
            <w:r w:rsidR="00883DB7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kWh</w:t>
            </w:r>
          </w:p>
        </w:tc>
      </w:tr>
      <w:tr w:rsidR="007779C3" w:rsidRPr="00B57401" w14:paraId="4B98A814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61184E" w14:textId="77777777"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14:paraId="2CEE434D" w14:textId="54C730A7" w:rsidR="007779C3" w:rsidRPr="009A0A70" w:rsidRDefault="000721FB" w:rsidP="009A0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21FB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2,</w:t>
            </w:r>
            <w:r w:rsidR="00DB1AF5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751</w:t>
            </w:r>
            <w:r w:rsidR="00883DB7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7779C3" w:rsidRPr="00883DB7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kWh</w:t>
            </w:r>
          </w:p>
        </w:tc>
      </w:tr>
      <w:tr w:rsidR="007779C3" w:rsidRPr="00B57401" w14:paraId="23050EF9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74EF9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14:paraId="33176186" w14:textId="7777506A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883DB7">
              <w:rPr>
                <w:rFonts w:ascii="Calibri" w:eastAsia="Times New Roman" w:hAnsi="Calibri" w:cs="Calibri"/>
                <w:i/>
                <w:iCs/>
                <w:lang w:eastAsia="es-ES_tradnl"/>
              </w:rPr>
              <w:t>1.</w:t>
            </w:r>
            <w:r w:rsid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38</w:t>
            </w:r>
            <w:r w:rsidR="009A0A70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14:paraId="141C3044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87450F6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1529FF2" w14:textId="77777777" w:rsidR="00094BCA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Análisis</w:t>
      </w:r>
      <w:proofErr w:type="spellEnd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Financiero</w:t>
      </w:r>
      <w:proofErr w:type="spellEnd"/>
    </w:p>
    <w:p w14:paraId="19CED1B2" w14:textId="77777777"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14:paraId="2E4F57C8" w14:textId="77777777" w:rsidR="007779C3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>Inversión</w:t>
      </w:r>
      <w:proofErr w:type="spellEnd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 xml:space="preserve"> Total:</w:t>
      </w:r>
    </w:p>
    <w:p w14:paraId="2D73F782" w14:textId="33676945" w:rsidR="00611827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DB1AF5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15,</w:t>
      </w:r>
      <w:r w:rsidR="00F825CD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DB1AF5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F825CD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7779C3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.00 + IVA</w:t>
      </w:r>
    </w:p>
    <w:p w14:paraId="34E75D63" w14:textId="4BD46002" w:rsidR="007779C3" w:rsidRPr="00611827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 (Proyecto llave en mano)</w:t>
      </w:r>
    </w:p>
    <w:p w14:paraId="2AF66E9D" w14:textId="77777777" w:rsidR="00094BCA" w:rsidRPr="00611827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14:paraId="4AFE5A19" w14:textId="77777777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b/>
          <w:bCs/>
          <w:i/>
          <w:iCs/>
          <w:sz w:val="28"/>
          <w:szCs w:val="28"/>
          <w:lang w:val="es-GT" w:eastAsia="es-ES_tradnl"/>
        </w:rPr>
        <w:t>OPCIONES FINANCIAMIENTOS</w:t>
      </w:r>
    </w:p>
    <w:p w14:paraId="1AD33B7D" w14:textId="631CB84A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48 </w:t>
      </w:r>
      <w:r w:rsidR="00890D09"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NEOCUOTAS (VISA O MASTER CARD)</w:t>
      </w:r>
      <w:r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 </w:t>
      </w:r>
      <w:r w:rsidR="00027411"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Q</w:t>
      </w:r>
      <w:r w:rsidR="00DB1AF5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350.00</w:t>
      </w:r>
    </w:p>
    <w:p w14:paraId="349DEC0C" w14:textId="3A39D26C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36 CREDICUOTAS </w:t>
      </w:r>
      <w:r w:rsidR="00890D09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(</w:t>
      </w: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BAC</w:t>
      </w:r>
      <w:r w:rsidR="00890D09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)</w:t>
      </w: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 </w:t>
      </w:r>
      <w:r w:rsidR="009A0A70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Q</w:t>
      </w:r>
      <w:r w:rsidR="00DB1AF5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466.67</w:t>
      </w:r>
    </w:p>
    <w:p w14:paraId="297566B2" w14:textId="77777777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14:paraId="17F18871" w14:textId="77777777" w:rsidR="007779C3" w:rsidRPr="00611827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80C1F5C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741BCAC2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93E7979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CC700A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971F85E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451E9DE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585BA93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05B61A09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6116CEA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58C15D6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7A2EA1D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Retorno de Inversión (ROI)</w:t>
      </w:r>
    </w:p>
    <w:p w14:paraId="6A045D1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14:paraId="2700C7EC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7367F6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14:paraId="1A681BD7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14:paraId="3AD40C9A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0260C7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4A47AD66" w14:textId="1AF2C963" w:rsidR="00353751" w:rsidRPr="00B57401" w:rsidRDefault="00DB1AF5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Q5,992.80</w:t>
            </w:r>
          </w:p>
        </w:tc>
      </w:tr>
      <w:tr w:rsidR="00353751" w:rsidRPr="00B57401" w14:paraId="5254EC4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F45505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14:paraId="7F6EA24A" w14:textId="211FF0AD" w:rsidR="00353751" w:rsidRPr="00B57401" w:rsidRDefault="00F825CD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14:paraId="26837DF2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F9B305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14:paraId="6C557C03" w14:textId="77777777"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14:paraId="73EB164E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837453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14:paraId="57124B99" w14:textId="0A0EAB38"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0721FB">
              <w:rPr>
                <w:rFonts w:ascii="Calibri" w:eastAsia="Times New Roman" w:hAnsi="Calibri" w:cs="Calibri"/>
                <w:i/>
                <w:iCs/>
                <w:lang w:eastAsia="es-ES_tradnl"/>
              </w:rPr>
              <w:t>Q1</w:t>
            </w:r>
            <w:r w:rsidR="00DB1AF5">
              <w:rPr>
                <w:rFonts w:ascii="Calibri" w:eastAsia="Times New Roman" w:hAnsi="Calibri" w:cs="Calibri"/>
                <w:i/>
                <w:iCs/>
                <w:lang w:eastAsia="es-ES_tradnl"/>
              </w:rPr>
              <w:t>55,792.00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14:paraId="1CC3937E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5FE04A5" w14:textId="77777777" w:rsidR="007779C3" w:rsidRPr="00611827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14:paraId="4D04E670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0092EE1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14:paraId="0B583F90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14:paraId="538B3846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14:paraId="1EFAC1C7" w14:textId="73000214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Inversor </w:t>
      </w:r>
      <w:proofErr w:type="spellStart"/>
      <w:r w:rsidR="00DB1AF5">
        <w:rPr>
          <w:rFonts w:ascii="Calibri" w:eastAsia="Times New Roman" w:hAnsi="Calibri" w:cs="Calibri"/>
          <w:i/>
          <w:iCs/>
          <w:lang w:val="es-GT" w:eastAsia="es-ES_tradnl"/>
        </w:rPr>
        <w:t>Solax</w:t>
      </w:r>
      <w:proofErr w:type="spellEnd"/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: </w:t>
      </w:r>
      <w:r w:rsidR="00330842" w:rsidRPr="00611827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611827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14:paraId="14E8BBC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14:paraId="3F79460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14:paraId="2A80F208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14:paraId="2FD1F52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14:paraId="24B77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C949C23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14:paraId="5C36B11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14:paraId="3933EEE2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14:paraId="18602AC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14:paraId="3C568DA8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14:paraId="5F852CB0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14:paraId="131040C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611827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14:paraId="719271F4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14:paraId="1A2A7F0D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B58CE4B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8EEF268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1D64DA3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56D0F20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3EA1F36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7BC1343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53BD778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3C5E02C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935E00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2E184C0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0AEA9C5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7B3B33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03F05913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3695D19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2C959333" w14:textId="77777777" w:rsidR="00224937" w:rsidRPr="0061182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013CD81C" w14:textId="77777777" w:rsidR="00224937" w:rsidRPr="0061182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163B4FB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14:paraId="7C6DD307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14:paraId="0F99E09D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45BE0D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14:paraId="3A98B664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14:paraId="5193D384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4AA90D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14:paraId="54440C2C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 días</w:t>
            </w:r>
          </w:p>
        </w:tc>
      </w:tr>
      <w:tr w:rsidR="007779C3" w:rsidRPr="00B57401" w14:paraId="6A6DE821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265F7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14:paraId="6E2A5E3B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5 días</w:t>
            </w:r>
          </w:p>
        </w:tc>
      </w:tr>
      <w:tr w:rsidR="007779C3" w:rsidRPr="00B57401" w14:paraId="57459D97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6F2D02" w14:textId="77777777" w:rsidR="007779C3" w:rsidRPr="00611827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611827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14:paraId="651E523B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3-5 días</w:t>
            </w:r>
          </w:p>
        </w:tc>
      </w:tr>
      <w:tr w:rsidR="007779C3" w:rsidRPr="00B57401" w14:paraId="1C10D0D6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BB82D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14:paraId="489876C2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7 días</w:t>
            </w:r>
          </w:p>
        </w:tc>
      </w:tr>
    </w:tbl>
    <w:p w14:paraId="4C286BD9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5BE2FF6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2C42B8D3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6B942EF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14:paraId="5C497ADA" w14:textId="77777777"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14:paraId="09FAE799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7993895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14:paraId="2C097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14:paraId="015EB3BE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14:paraId="29222856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E723A72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F38E62B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64E2CB09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 xml:space="preserve">ANEXO FOTOGRAFIAS </w:t>
      </w:r>
    </w:p>
    <w:p w14:paraId="6B93FE6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794C889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1DDEBF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 wp14:anchorId="602CCCDD" wp14:editId="31BC3578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B12A8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CBA77A7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488D3B5A" w14:textId="77777777"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Protección contra arcos eléctricos active con tecnología de IA.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 xml:space="preserve">Compatible con el optimizador </w:t>
      </w:r>
    </w:p>
    <w:p w14:paraId="1CD1EB7A" w14:textId="77777777"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no se requiere ningún dispositivo adicional ni ninguna modificación.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Topología de inversor de alta eficiencia, máx. Eficiencia 98,4%.</w:t>
      </w:r>
    </w:p>
    <w:p w14:paraId="03E45D66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ADFCB5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689F9FE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648502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F36C712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37FE983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7D2E16A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C293E7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54D7375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7531378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91E8C68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43FD32E5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3964F1C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865CFCC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4E18ACC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B9664BD" w14:textId="77777777" w:rsidR="00A2087C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1C5C07C0" wp14:editId="11A20B5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37C14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71DBE7CD" w14:textId="77777777" w:rsidR="000122F8" w:rsidRPr="00611827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C5889D4" w14:textId="77777777" w:rsidR="000122F8" w:rsidRPr="00611827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0BAC424A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12 años garantia del producto</w:t>
      </w:r>
    </w:p>
    <w:p w14:paraId="6A77D42B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30 años garantia de potencia lineal</w:t>
      </w:r>
    </w:p>
    <w:p w14:paraId="121353CF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Medidas: 2.33 x 1.13 x 0.30 (metros)</w:t>
      </w:r>
    </w:p>
    <w:p w14:paraId="0C2E24AB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141736F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6F655D2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534733BA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D9849A0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64D5DEA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11884F1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4B0EE77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2B907B3" w14:textId="5F805D07" w:rsidR="00A2087C" w:rsidRPr="00DB1AF5" w:rsidRDefault="00DB1AF5" w:rsidP="00A2087C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A2087C" w:rsidRPr="00DB1AF5">
        <w:rPr>
          <w:rFonts w:ascii="Calibri" w:hAnsi="Calibri" w:cs="Calibri"/>
          <w:b/>
          <w:i/>
          <w:iCs/>
          <w:lang w:val="es-GT"/>
        </w:rPr>
        <w:t>¡Aproveche la energía solar y reduzca su factura eléctrica desde el primer mes!</w:t>
      </w:r>
    </w:p>
    <w:p w14:paraId="5F6927E8" w14:textId="77777777" w:rsidR="00A2087C" w:rsidRPr="00DB1AF5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</w:p>
    <w:sectPr w:rsidR="00A2087C" w:rsidRPr="00DB1AF5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DC276" w14:textId="77777777" w:rsidR="001E2D4B" w:rsidRDefault="001E2D4B" w:rsidP="007E5A75">
      <w:r>
        <w:separator/>
      </w:r>
    </w:p>
  </w:endnote>
  <w:endnote w:type="continuationSeparator" w:id="0">
    <w:p w14:paraId="1E9226A9" w14:textId="77777777" w:rsidR="001E2D4B" w:rsidRDefault="001E2D4B" w:rsidP="007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B0912" w14:textId="77777777" w:rsidR="001E2D4B" w:rsidRDefault="001E2D4B" w:rsidP="007E5A75">
      <w:r>
        <w:separator/>
      </w:r>
    </w:p>
  </w:footnote>
  <w:footnote w:type="continuationSeparator" w:id="0">
    <w:p w14:paraId="51182CF4" w14:textId="77777777" w:rsidR="001E2D4B" w:rsidRDefault="001E2D4B" w:rsidP="007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30167" w14:textId="77777777"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419306" wp14:editId="16B21A49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27411"/>
    <w:rsid w:val="00034616"/>
    <w:rsid w:val="00051FCF"/>
    <w:rsid w:val="0006063C"/>
    <w:rsid w:val="000721FB"/>
    <w:rsid w:val="00082F49"/>
    <w:rsid w:val="00094BCA"/>
    <w:rsid w:val="000C6981"/>
    <w:rsid w:val="000D56B1"/>
    <w:rsid w:val="001044C1"/>
    <w:rsid w:val="0015074B"/>
    <w:rsid w:val="001713FF"/>
    <w:rsid w:val="001E2D4B"/>
    <w:rsid w:val="001E4E7C"/>
    <w:rsid w:val="001F59DB"/>
    <w:rsid w:val="00200506"/>
    <w:rsid w:val="00224937"/>
    <w:rsid w:val="002369DB"/>
    <w:rsid w:val="0029639D"/>
    <w:rsid w:val="002A7190"/>
    <w:rsid w:val="00303285"/>
    <w:rsid w:val="00326F90"/>
    <w:rsid w:val="00330842"/>
    <w:rsid w:val="00353751"/>
    <w:rsid w:val="003A6F5C"/>
    <w:rsid w:val="003B4F9D"/>
    <w:rsid w:val="003C4A54"/>
    <w:rsid w:val="00424B09"/>
    <w:rsid w:val="004510B2"/>
    <w:rsid w:val="005545ED"/>
    <w:rsid w:val="00574D5F"/>
    <w:rsid w:val="00595906"/>
    <w:rsid w:val="005E560A"/>
    <w:rsid w:val="00611827"/>
    <w:rsid w:val="006E5671"/>
    <w:rsid w:val="00740E71"/>
    <w:rsid w:val="007779C3"/>
    <w:rsid w:val="007E5A75"/>
    <w:rsid w:val="00883DB7"/>
    <w:rsid w:val="00890D09"/>
    <w:rsid w:val="008E4025"/>
    <w:rsid w:val="009715DD"/>
    <w:rsid w:val="009A0A70"/>
    <w:rsid w:val="009A3543"/>
    <w:rsid w:val="009C042D"/>
    <w:rsid w:val="009E659B"/>
    <w:rsid w:val="00A2087C"/>
    <w:rsid w:val="00A23B76"/>
    <w:rsid w:val="00A330EB"/>
    <w:rsid w:val="00A75E21"/>
    <w:rsid w:val="00A908C8"/>
    <w:rsid w:val="00AA1D8D"/>
    <w:rsid w:val="00B36726"/>
    <w:rsid w:val="00B47730"/>
    <w:rsid w:val="00B57401"/>
    <w:rsid w:val="00BF4F8B"/>
    <w:rsid w:val="00C07203"/>
    <w:rsid w:val="00C73CA3"/>
    <w:rsid w:val="00CB0664"/>
    <w:rsid w:val="00CC6CC0"/>
    <w:rsid w:val="00CF2145"/>
    <w:rsid w:val="00D04A76"/>
    <w:rsid w:val="00D46F24"/>
    <w:rsid w:val="00DB1AF5"/>
    <w:rsid w:val="00DC5AF5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97C8F63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16"/>
      <w:szCs w:val="16"/>
      <w:lang w:val="en-U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2">
    <w:name w:val="List 2"/>
    <w:basedOn w:val="Normal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3">
    <w:name w:val="List 3"/>
    <w:basedOn w:val="Normal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">
    <w:name w:val="List Continue"/>
    <w:basedOn w:val="Normal"/>
    <w:uiPriority w:val="99"/>
    <w:unhideWhenUsed/>
    <w:rsid w:val="0029639D"/>
    <w:pPr>
      <w:spacing w:after="120" w:line="276" w:lineRule="auto"/>
      <w:ind w:left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2">
    <w:name w:val="List Continue 2"/>
    <w:basedOn w:val="Normal"/>
    <w:uiPriority w:val="99"/>
    <w:unhideWhenUsed/>
    <w:rsid w:val="0029639D"/>
    <w:pPr>
      <w:spacing w:after="12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3">
    <w:name w:val="List Continue 3"/>
    <w:basedOn w:val="Normal"/>
    <w:uiPriority w:val="99"/>
    <w:unhideWhenUsed/>
    <w:rsid w:val="0029639D"/>
    <w:pPr>
      <w:spacing w:after="120" w:line="276" w:lineRule="auto"/>
      <w:ind w:left="108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pPr>
      <w:spacing w:after="200" w:line="276" w:lineRule="auto"/>
    </w:pPr>
    <w:rPr>
      <w:rFonts w:ascii="Calibri" w:eastAsiaTheme="minorEastAsia" w:hAnsi="Calibr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Theme="minorEastAsia" w:hAnsi="Calibr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/>
    </w:p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ord">
    <w:name w:val="mord"/>
    <w:basedOn w:val="Fuentedeprrafopredeter"/>
    <w:rsid w:val="009A0A70"/>
  </w:style>
  <w:style w:type="character" w:customStyle="1" w:styleId="mpunct">
    <w:name w:val="mpunct"/>
    <w:basedOn w:val="Fuentedeprrafopredeter"/>
    <w:rsid w:val="009A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DE0F98-2551-45EF-87FB-2FDDBD84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2025-09-25T07:50:00Z</dcterms:created>
  <dcterms:modified xsi:type="dcterms:W3CDTF">2025-09-25T07:50:00Z</dcterms:modified>
  <cp:category/>
</cp:coreProperties>
</file>